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6A18" w14:textId="77777777" w:rsidR="00B70AFC" w:rsidRDefault="00B70AFC">
      <w:pPr>
        <w:jc w:val="center"/>
        <w:rPr>
          <w:b/>
        </w:rPr>
      </w:pPr>
    </w:p>
    <w:p w14:paraId="237BCECC" w14:textId="77777777" w:rsidR="0007058B" w:rsidRDefault="0007058B">
      <w:pPr>
        <w:jc w:val="center"/>
        <w:rPr>
          <w:b/>
        </w:rPr>
      </w:pPr>
    </w:p>
    <w:p w14:paraId="76BEB237" w14:textId="77777777" w:rsidR="008F2718" w:rsidRDefault="00B74F5B" w:rsidP="0073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Benefit flessibili</w:t>
      </w:r>
      <w:r w:rsidR="00C112FA">
        <w:rPr>
          <w:b/>
          <w:sz w:val="32"/>
          <w:szCs w:val="32"/>
        </w:rPr>
        <w:t xml:space="preserve"> per rispondere alle esigenze dei singoli, sì allo </w:t>
      </w:r>
      <w:proofErr w:type="spellStart"/>
      <w:r w:rsidR="00C112FA">
        <w:rPr>
          <w:b/>
          <w:sz w:val="32"/>
          <w:szCs w:val="32"/>
        </w:rPr>
        <w:t>smartworking</w:t>
      </w:r>
      <w:proofErr w:type="spellEnd"/>
      <w:r w:rsidR="00C112FA">
        <w:rPr>
          <w:b/>
          <w:sz w:val="32"/>
          <w:szCs w:val="32"/>
        </w:rPr>
        <w:t xml:space="preserve"> e a una</w:t>
      </w:r>
      <w:r w:rsidR="008F2718">
        <w:rPr>
          <w:b/>
          <w:sz w:val="32"/>
          <w:szCs w:val="32"/>
        </w:rPr>
        <w:t xml:space="preserve"> nuova cultura del risultato</w:t>
      </w:r>
      <w:r w:rsidR="00C112FA">
        <w:rPr>
          <w:b/>
          <w:sz w:val="32"/>
          <w:szCs w:val="32"/>
        </w:rPr>
        <w:t xml:space="preserve">. </w:t>
      </w:r>
    </w:p>
    <w:p w14:paraId="5CC5AB41" w14:textId="6FA35699" w:rsidR="00B70AFC" w:rsidRDefault="00C112FA" w:rsidP="0073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Nobìlita</w:t>
      </w:r>
      <w:proofErr w:type="spellEnd"/>
      <w:r>
        <w:rPr>
          <w:b/>
          <w:sz w:val="32"/>
          <w:szCs w:val="32"/>
        </w:rPr>
        <w:t xml:space="preserve">, </w:t>
      </w:r>
      <w:r w:rsidR="008F2718">
        <w:rPr>
          <w:b/>
          <w:sz w:val="32"/>
          <w:szCs w:val="32"/>
        </w:rPr>
        <w:t xml:space="preserve">il Festival del </w:t>
      </w:r>
      <w:r>
        <w:rPr>
          <w:b/>
          <w:sz w:val="32"/>
          <w:szCs w:val="32"/>
        </w:rPr>
        <w:t>lav</w:t>
      </w:r>
      <w:r w:rsidR="008F2718">
        <w:rPr>
          <w:b/>
          <w:sz w:val="32"/>
          <w:szCs w:val="32"/>
        </w:rPr>
        <w:t>oro di Bologna, le aziende</w:t>
      </w:r>
      <w:r>
        <w:rPr>
          <w:b/>
          <w:sz w:val="32"/>
          <w:szCs w:val="32"/>
        </w:rPr>
        <w:t xml:space="preserve"> si confrontano sul “Welfare che non c’è”</w:t>
      </w:r>
      <w:r w:rsidR="0007058B">
        <w:rPr>
          <w:sz w:val="32"/>
          <w:szCs w:val="32"/>
        </w:rPr>
        <w:br/>
      </w:r>
      <w:bookmarkStart w:id="0" w:name="_GoBack"/>
      <w:r w:rsidR="00736DE2">
        <w:rPr>
          <w:i/>
          <w:sz w:val="28"/>
          <w:szCs w:val="28"/>
        </w:rPr>
        <w:t>Fino a stasera</w:t>
      </w:r>
      <w:r w:rsidR="0007058B">
        <w:rPr>
          <w:i/>
          <w:sz w:val="28"/>
          <w:szCs w:val="28"/>
        </w:rPr>
        <w:t xml:space="preserve"> all’Opific</w:t>
      </w:r>
      <w:r w:rsidR="008F2718">
        <w:rPr>
          <w:i/>
          <w:sz w:val="28"/>
          <w:szCs w:val="28"/>
        </w:rPr>
        <w:t>io Golinelli di Bologna incontri</w:t>
      </w:r>
      <w:r w:rsidR="0007058B">
        <w:rPr>
          <w:i/>
          <w:sz w:val="28"/>
          <w:szCs w:val="28"/>
        </w:rPr>
        <w:t xml:space="preserve"> tra imprenditori, professionisti e giovani per tracciare la rotta</w:t>
      </w:r>
      <w:r w:rsidR="008F2718">
        <w:rPr>
          <w:i/>
          <w:sz w:val="28"/>
          <w:szCs w:val="28"/>
        </w:rPr>
        <w:t xml:space="preserve"> dei lavori</w:t>
      </w:r>
      <w:r w:rsidR="0007058B">
        <w:rPr>
          <w:i/>
          <w:sz w:val="28"/>
          <w:szCs w:val="28"/>
        </w:rPr>
        <w:t xml:space="preserve"> di domani. </w:t>
      </w:r>
      <w:bookmarkEnd w:id="0"/>
    </w:p>
    <w:p w14:paraId="2647D433" w14:textId="77777777" w:rsidR="00B70AFC" w:rsidRDefault="00B70AFC">
      <w:pPr>
        <w:jc w:val="both"/>
      </w:pPr>
    </w:p>
    <w:p w14:paraId="1E6F7A45" w14:textId="41FB6839" w:rsidR="00F36568" w:rsidRDefault="00F36568">
      <w:pPr>
        <w:jc w:val="both"/>
      </w:pPr>
      <w:r>
        <w:rPr>
          <w:i/>
        </w:rPr>
        <w:t>Bologna, 24</w:t>
      </w:r>
      <w:r w:rsidR="0007058B" w:rsidRPr="00162536">
        <w:rPr>
          <w:i/>
        </w:rPr>
        <w:t xml:space="preserve"> marzo 2018</w:t>
      </w:r>
      <w:r w:rsidR="0007058B">
        <w:t xml:space="preserve"> </w:t>
      </w:r>
      <w:r>
        <w:t>–</w:t>
      </w:r>
      <w:r w:rsidR="0007058B">
        <w:t xml:space="preserve"> </w:t>
      </w:r>
      <w:r>
        <w:t xml:space="preserve">È necessario un </w:t>
      </w:r>
      <w:r w:rsidRPr="00736DE2">
        <w:rPr>
          <w:b/>
        </w:rPr>
        <w:t>cambio di mentalità</w:t>
      </w:r>
      <w:r>
        <w:t xml:space="preserve">, è necessaria la promozione di una </w:t>
      </w:r>
      <w:r w:rsidR="008F2718">
        <w:t xml:space="preserve">nuova </w:t>
      </w:r>
      <w:r w:rsidR="008F2718">
        <w:rPr>
          <w:b/>
        </w:rPr>
        <w:t>cultura del risultato</w:t>
      </w:r>
      <w:r>
        <w:t xml:space="preserve"> per inci</w:t>
      </w:r>
      <w:r w:rsidR="008F2718">
        <w:t>dere in profondità sul sistema P</w:t>
      </w:r>
      <w:r>
        <w:t xml:space="preserve">aese. Non è più valida l’equazione tra produttività e durata della presenza in ufficio, ogni forma di taylorismo è ormai anacronistica. Sono alcune delle riflessioni emerse all’unanimità dall’incontro </w:t>
      </w:r>
      <w:r w:rsidRPr="00736DE2">
        <w:rPr>
          <w:b/>
        </w:rPr>
        <w:t>“Il Welfare che non c’è”</w:t>
      </w:r>
      <w:r>
        <w:t xml:space="preserve"> svoltosi questa mattina nell’ambito di </w:t>
      </w:r>
      <w:proofErr w:type="spellStart"/>
      <w:r w:rsidRPr="00736DE2">
        <w:rPr>
          <w:b/>
        </w:rPr>
        <w:t>Nobìlita</w:t>
      </w:r>
      <w:proofErr w:type="spellEnd"/>
      <w:r>
        <w:t xml:space="preserve">, il festival dedicato alla cultura del lavoro organizzato dalla community </w:t>
      </w:r>
      <w:proofErr w:type="spellStart"/>
      <w:r>
        <w:t>FiordiRisorse</w:t>
      </w:r>
      <w:proofErr w:type="spellEnd"/>
      <w:r>
        <w:t xml:space="preserve">, in programma fino a questa sera all’Opificio Golinelli di Bologna. Gli ospiti sul palco – </w:t>
      </w:r>
      <w:r w:rsidRPr="00736DE2">
        <w:rPr>
          <w:b/>
        </w:rPr>
        <w:t xml:space="preserve">Alessandra Stasi, </w:t>
      </w:r>
      <w:r w:rsidR="00B74F5B" w:rsidRPr="00736DE2">
        <w:rPr>
          <w:b/>
        </w:rPr>
        <w:t xml:space="preserve">Group </w:t>
      </w:r>
      <w:proofErr w:type="spellStart"/>
      <w:r w:rsidR="00B74F5B" w:rsidRPr="00736DE2">
        <w:rPr>
          <w:b/>
        </w:rPr>
        <w:t>Talent&amp;People</w:t>
      </w:r>
      <w:proofErr w:type="spellEnd"/>
      <w:r w:rsidR="00B74F5B" w:rsidRPr="00736DE2">
        <w:rPr>
          <w:b/>
        </w:rPr>
        <w:t xml:space="preserve"> Development di Barilla, Giordano Curti, Direttore Generale </w:t>
      </w:r>
      <w:proofErr w:type="spellStart"/>
      <w:r w:rsidR="00B74F5B" w:rsidRPr="00736DE2">
        <w:rPr>
          <w:b/>
        </w:rPr>
        <w:t>Cir</w:t>
      </w:r>
      <w:proofErr w:type="spellEnd"/>
      <w:r w:rsidR="00B74F5B" w:rsidRPr="00736DE2">
        <w:rPr>
          <w:b/>
        </w:rPr>
        <w:t xml:space="preserve"> </w:t>
      </w:r>
      <w:proofErr w:type="spellStart"/>
      <w:r w:rsidR="00B74F5B" w:rsidRPr="00736DE2">
        <w:rPr>
          <w:b/>
        </w:rPr>
        <w:t>Food</w:t>
      </w:r>
      <w:proofErr w:type="spellEnd"/>
      <w:r w:rsidR="00B74F5B" w:rsidRPr="00736DE2">
        <w:rPr>
          <w:b/>
        </w:rPr>
        <w:t xml:space="preserve">, Michele Riccardi, HR Manager di </w:t>
      </w:r>
      <w:proofErr w:type="spellStart"/>
      <w:r w:rsidR="00B74F5B" w:rsidRPr="00736DE2">
        <w:rPr>
          <w:b/>
        </w:rPr>
        <w:t>EdenRed</w:t>
      </w:r>
      <w:proofErr w:type="spellEnd"/>
      <w:r w:rsidR="00B74F5B" w:rsidRPr="00736DE2">
        <w:rPr>
          <w:b/>
        </w:rPr>
        <w:t xml:space="preserve"> Italia e Andrea </w:t>
      </w:r>
      <w:proofErr w:type="spellStart"/>
      <w:r w:rsidR="00B74F5B" w:rsidRPr="00736DE2">
        <w:rPr>
          <w:b/>
        </w:rPr>
        <w:t>Montuschi</w:t>
      </w:r>
      <w:proofErr w:type="spellEnd"/>
      <w:r w:rsidR="00B74F5B" w:rsidRPr="00736DE2">
        <w:rPr>
          <w:b/>
        </w:rPr>
        <w:t xml:space="preserve">, Presidente di Great </w:t>
      </w:r>
      <w:proofErr w:type="spellStart"/>
      <w:r w:rsidR="00B74F5B" w:rsidRPr="00736DE2">
        <w:rPr>
          <w:b/>
        </w:rPr>
        <w:t>Place</w:t>
      </w:r>
      <w:proofErr w:type="spellEnd"/>
      <w:r w:rsidR="00B74F5B" w:rsidRPr="00736DE2">
        <w:rPr>
          <w:b/>
        </w:rPr>
        <w:t xml:space="preserve"> to Work</w:t>
      </w:r>
      <w:r w:rsidR="00B74F5B">
        <w:t xml:space="preserve"> – si sono confrontati sui </w:t>
      </w:r>
      <w:r w:rsidR="00B74F5B" w:rsidRPr="00736DE2">
        <w:rPr>
          <w:b/>
        </w:rPr>
        <w:t>temi del welfare</w:t>
      </w:r>
      <w:r w:rsidR="00B74F5B">
        <w:t xml:space="preserve">, tentando di definire cosa significhi oggi. Le best </w:t>
      </w:r>
      <w:proofErr w:type="spellStart"/>
      <w:r w:rsidR="00B74F5B">
        <w:t>practice</w:t>
      </w:r>
      <w:proofErr w:type="spellEnd"/>
      <w:r w:rsidR="00B74F5B">
        <w:t xml:space="preserve"> in essere all’interno delle singole realtà aziendali – dalla cura dell’alimentazione alla disponibilità di piattaforme che consentono alle persone di disporre dei propri budget individuali secondo formule di </w:t>
      </w:r>
      <w:proofErr w:type="spellStart"/>
      <w:r w:rsidR="00B74F5B" w:rsidRPr="00736DE2">
        <w:rPr>
          <w:b/>
          <w:i/>
        </w:rPr>
        <w:t>flexible</w:t>
      </w:r>
      <w:proofErr w:type="spellEnd"/>
      <w:r w:rsidR="00B74F5B" w:rsidRPr="00736DE2">
        <w:rPr>
          <w:b/>
          <w:i/>
        </w:rPr>
        <w:t xml:space="preserve"> benefits</w:t>
      </w:r>
      <w:r w:rsidR="00B74F5B">
        <w:t xml:space="preserve"> fino allo </w:t>
      </w:r>
      <w:proofErr w:type="spellStart"/>
      <w:r w:rsidR="00B74F5B" w:rsidRPr="00736DE2">
        <w:rPr>
          <w:b/>
        </w:rPr>
        <w:t>smart</w:t>
      </w:r>
      <w:proofErr w:type="spellEnd"/>
      <w:r w:rsidR="000B092C" w:rsidRPr="00736DE2">
        <w:rPr>
          <w:b/>
        </w:rPr>
        <w:t xml:space="preserve"> </w:t>
      </w:r>
      <w:proofErr w:type="spellStart"/>
      <w:r w:rsidR="00B74F5B" w:rsidRPr="00736DE2">
        <w:rPr>
          <w:b/>
        </w:rPr>
        <w:t>working</w:t>
      </w:r>
      <w:proofErr w:type="spellEnd"/>
      <w:r w:rsidR="00B74F5B">
        <w:t xml:space="preserve"> – disegnano uno scenario di costante tentativo di armonizzazione tra i bisogni delle aziende e quelli dei lavoratori. Un tentativo che risulta essere conveniente, sia per quanto comporta i</w:t>
      </w:r>
      <w:r w:rsidR="008F2718">
        <w:t>n termini di defiscalizzazione sia</w:t>
      </w:r>
      <w:r w:rsidR="00B74F5B">
        <w:t xml:space="preserve"> in quelli di soddisfazione del dipendente e, conseguentemente, di maggior produttività. </w:t>
      </w:r>
      <w:r w:rsidR="008F2718">
        <w:t>“</w:t>
      </w:r>
    </w:p>
    <w:p w14:paraId="38D9D734" w14:textId="54A7BE76" w:rsidR="00736DE2" w:rsidRDefault="000B092C">
      <w:pPr>
        <w:jc w:val="both"/>
      </w:pPr>
      <w:r>
        <w:t xml:space="preserve">Uno scenario che apre uno spiraglio di positività in una realtà del mondo del lavoro che molto spesso è raccontata solo al negativo, tra incongruità retributive e costanti ricatti al lavoratore. </w:t>
      </w:r>
      <w:r w:rsidRPr="00736DE2">
        <w:rPr>
          <w:i/>
        </w:rPr>
        <w:t>“Quel che manca è un cambio di mentalità</w:t>
      </w:r>
      <w:r>
        <w:t xml:space="preserve"> - dice Alessandra Stasi</w:t>
      </w:r>
      <w:r w:rsidR="00736DE2">
        <w:t xml:space="preserve"> di Barilla. </w:t>
      </w:r>
      <w:r w:rsidR="00736DE2" w:rsidRPr="00736DE2">
        <w:rPr>
          <w:i/>
        </w:rPr>
        <w:t>- M</w:t>
      </w:r>
      <w:r w:rsidR="008F2718">
        <w:rPr>
          <w:i/>
        </w:rPr>
        <w:t xml:space="preserve">isure di welfare come lo </w:t>
      </w:r>
      <w:proofErr w:type="spellStart"/>
      <w:r w:rsidR="008F2718">
        <w:rPr>
          <w:i/>
        </w:rPr>
        <w:t>smart</w:t>
      </w:r>
      <w:r w:rsidRPr="00736DE2">
        <w:rPr>
          <w:i/>
        </w:rPr>
        <w:t>working</w:t>
      </w:r>
      <w:proofErr w:type="spellEnd"/>
      <w:r w:rsidRPr="00736DE2">
        <w:rPr>
          <w:i/>
        </w:rPr>
        <w:t xml:space="preserve"> comportano investimenti ridotti da parte delle aziende ma si traducono in miglior qualità della vita del lavoratore, e, di conseguenza, dell’azienda stessa. È un passaggio culturale nel quale occorre accompagnare i lavoratori, instillando una cultura degli obiettivi, così come nei manager, troppo ancorati alla necessità del controllo sull’operato dei propri dipendenti”.</w:t>
      </w:r>
      <w:r>
        <w:t xml:space="preserve"> E se il </w:t>
      </w:r>
      <w:r w:rsidRPr="00736DE2">
        <w:rPr>
          <w:b/>
        </w:rPr>
        <w:t xml:space="preserve">modello </w:t>
      </w:r>
      <w:proofErr w:type="spellStart"/>
      <w:r w:rsidRPr="00736DE2">
        <w:rPr>
          <w:b/>
        </w:rPr>
        <w:t>olivettiano</w:t>
      </w:r>
      <w:proofErr w:type="spellEnd"/>
      <w:r w:rsidRPr="00736DE2">
        <w:rPr>
          <w:b/>
        </w:rPr>
        <w:t xml:space="preserve"> non è più percorribile</w:t>
      </w:r>
      <w:r>
        <w:t xml:space="preserve"> in un panorama così profondamente mutato dal punto di vista storico, sociale, economico, tecnologico, occorre </w:t>
      </w:r>
      <w:r w:rsidRPr="00736DE2">
        <w:rPr>
          <w:b/>
        </w:rPr>
        <w:t>trovare altri strumenti</w:t>
      </w:r>
      <w:r>
        <w:t xml:space="preserve">, “destrutturare più che organizzare” secondo le parole di </w:t>
      </w:r>
      <w:r w:rsidR="00AE0556">
        <w:t>Michele Riccardi</w:t>
      </w:r>
      <w:r>
        <w:t xml:space="preserve">, che con </w:t>
      </w:r>
      <w:proofErr w:type="spellStart"/>
      <w:r w:rsidR="00AE0556">
        <w:t>EdenRed</w:t>
      </w:r>
      <w:proofErr w:type="spellEnd"/>
      <w:r w:rsidR="00AE0556">
        <w:t xml:space="preserve"> </w:t>
      </w:r>
      <w:r w:rsidR="00AE0556" w:rsidRPr="00736DE2">
        <w:rPr>
          <w:b/>
        </w:rPr>
        <w:t>disegna soluzioni di welfare</w:t>
      </w:r>
      <w:r w:rsidR="008F2718">
        <w:t xml:space="preserve"> per le aziende. “</w:t>
      </w:r>
      <w:proofErr w:type="gramStart"/>
      <w:r w:rsidR="008F2718">
        <w:t>E’</w:t>
      </w:r>
      <w:proofErr w:type="gramEnd"/>
      <w:r w:rsidR="00AE0556">
        <w:t xml:space="preserve"> impossibile pensare a misure che possano essere identiche per 300 persone: le esigenze variano di individuo in individuo, e di anno in anno: ecco perché quello cui puntiamo è la creazione di un bouquet di offerte in cui le persone possano trovare sempre quello di cui hanno bisogno. Dello stesso avviso Andrea </w:t>
      </w:r>
      <w:proofErr w:type="spellStart"/>
      <w:r w:rsidR="00AE0556">
        <w:t>Montuschi</w:t>
      </w:r>
      <w:proofErr w:type="spellEnd"/>
      <w:r w:rsidR="00AE0556">
        <w:t xml:space="preserve">, Presidente di Great </w:t>
      </w:r>
      <w:proofErr w:type="spellStart"/>
      <w:r w:rsidR="00AE0556">
        <w:t>Place</w:t>
      </w:r>
      <w:proofErr w:type="spellEnd"/>
      <w:r w:rsidR="00AE0556">
        <w:t xml:space="preserve"> to Work, azienda che </w:t>
      </w:r>
      <w:r>
        <w:t xml:space="preserve">misura </w:t>
      </w:r>
      <w:r w:rsidR="00AE0556">
        <w:t>proprio la soddisfazione delle persone i</w:t>
      </w:r>
      <w:r w:rsidR="00736DE2">
        <w:t xml:space="preserve">n azienda per comprendere quali </w:t>
      </w:r>
      <w:r w:rsidR="00AE0556">
        <w:t xml:space="preserve">misure di welfare si possano adattare ai bisogni dei singoli. “Prendiamo </w:t>
      </w:r>
      <w:r w:rsidR="008F2718">
        <w:t>la</w:t>
      </w:r>
    </w:p>
    <w:p w14:paraId="61BF7ADD" w14:textId="77777777" w:rsidR="00736DE2" w:rsidRDefault="00736DE2">
      <w:pPr>
        <w:jc w:val="both"/>
      </w:pPr>
    </w:p>
    <w:p w14:paraId="09FC5B03" w14:textId="419AB7D3" w:rsidR="000B092C" w:rsidRDefault="00AE0556">
      <w:pPr>
        <w:jc w:val="both"/>
      </w:pPr>
      <w:r>
        <w:lastRenderedPageBreak/>
        <w:t>pausa pranzo: perché devo imporre un’ora? Un dipendente avrà bisogno di mezz’ora soltanto, e preferirà uscire prima dall’ufficio alla sera, un altro avrà bisogno invece di due ore per andare in palestra o tornare a casa a preparare il pranzo per i propri figli: questa è flessibilità ed intelligenza nell’andare incontro ai ritmi dei singoli, garantendo loro un maggior benessere”. Anche lo</w:t>
      </w:r>
      <w:r w:rsidR="008F2718">
        <w:t xml:space="preserve"> </w:t>
      </w:r>
      <w:proofErr w:type="spellStart"/>
      <w:r w:rsidR="008F2718"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va in questa direzione, a patto che non lo si sovrapponga con il telelavoro, il lavoro a distanza, ma gli si riconosca la natura di modalità organizzativa intelligente, che consente di organizzare i propri tempi e di riconoscere di volta in volta le modalità operative più performanti: un giorno fuori dall’ufficio, l’altro in riunione con lo staff. E il </w:t>
      </w:r>
      <w:r w:rsidR="008F2718">
        <w:t xml:space="preserve">settore </w:t>
      </w:r>
      <w:r>
        <w:t>pubblico, soll</w:t>
      </w:r>
      <w:r w:rsidR="008F2718">
        <w:t>ecita un intervento dalla platea</w:t>
      </w:r>
      <w:r>
        <w:t xml:space="preserve">, a che punto è? Nonostante </w:t>
      </w:r>
      <w:r w:rsidR="00736DE2">
        <w:t xml:space="preserve">normative specifiche impongano agli enti pubblici di implementare il lavoro a distanza, siamo ben lontani dall’applicazione effettiva: una sinergia privato-pubblico potrebbe essere la strada per costruire assieme nuovi scenari, in cui si faccia strada un </w:t>
      </w:r>
      <w:r w:rsidR="00736DE2" w:rsidRPr="00736DE2">
        <w:rPr>
          <w:b/>
        </w:rPr>
        <w:t>modello culturale squisitamente anglosassone</w:t>
      </w:r>
      <w:r w:rsidR="00736DE2">
        <w:t xml:space="preserve"> – ciò che è tradito dall’abbondanza di anglicismi utilizzati per definire queste modalità – per attivare da un lato responsabilità di comportamenti nei dipendenti, dall’altro la fiducia dei capi nei confronti dei collaboratori. </w:t>
      </w:r>
    </w:p>
    <w:p w14:paraId="78D6CD69" w14:textId="4795D8F1" w:rsidR="00B2119F" w:rsidRDefault="00B2119F">
      <w:pPr>
        <w:jc w:val="both"/>
        <w:rPr>
          <w:sz w:val="20"/>
          <w:szCs w:val="20"/>
        </w:rPr>
      </w:pPr>
      <w:bookmarkStart w:id="1" w:name="_gjdgxs" w:colFirst="0" w:colLast="0"/>
      <w:bookmarkEnd w:id="1"/>
    </w:p>
    <w:p w14:paraId="63933EC9" w14:textId="77777777" w:rsidR="00B2119F" w:rsidRDefault="00B2119F">
      <w:pPr>
        <w:jc w:val="both"/>
        <w:rPr>
          <w:sz w:val="20"/>
          <w:szCs w:val="20"/>
        </w:rPr>
      </w:pPr>
    </w:p>
    <w:p w14:paraId="22DC98C9" w14:textId="77777777" w:rsidR="00B2119F" w:rsidRDefault="00B2119F">
      <w:pPr>
        <w:jc w:val="both"/>
        <w:rPr>
          <w:sz w:val="20"/>
          <w:szCs w:val="20"/>
        </w:rPr>
      </w:pPr>
    </w:p>
    <w:p w14:paraId="03DE22DA" w14:textId="77777777" w:rsidR="00B70AFC" w:rsidRDefault="0007058B">
      <w:pPr>
        <w:jc w:val="both"/>
        <w:rPr>
          <w:b/>
          <w:i/>
          <w:color w:val="0563C1"/>
          <w:sz w:val="16"/>
          <w:szCs w:val="16"/>
          <w:u w:val="single"/>
        </w:rPr>
      </w:pPr>
      <w:proofErr w:type="spellStart"/>
      <w:r>
        <w:rPr>
          <w:sz w:val="20"/>
          <w:szCs w:val="20"/>
        </w:rPr>
        <w:t>FiordiRisorse</w:t>
      </w:r>
      <w:proofErr w:type="spellEnd"/>
      <w:r>
        <w:rPr>
          <w:sz w:val="20"/>
          <w:szCs w:val="20"/>
        </w:rPr>
        <w:t xml:space="preserve"> – Persone Maiuscole è </w:t>
      </w:r>
      <w:proofErr w:type="gramStart"/>
      <w:r>
        <w:rPr>
          <w:sz w:val="20"/>
          <w:szCs w:val="20"/>
        </w:rPr>
        <w:t>una business</w:t>
      </w:r>
      <w:proofErr w:type="gramEnd"/>
      <w:r>
        <w:rPr>
          <w:sz w:val="20"/>
          <w:szCs w:val="20"/>
        </w:rPr>
        <w:t xml:space="preserve"> community nata nel 2008 come Gruppo sulla piattaforma </w:t>
      </w:r>
      <w:proofErr w:type="spellStart"/>
      <w:r>
        <w:rPr>
          <w:sz w:val="20"/>
          <w:szCs w:val="20"/>
        </w:rPr>
        <w:t>LinkedIn</w:t>
      </w:r>
      <w:proofErr w:type="spellEnd"/>
      <w:r>
        <w:rPr>
          <w:sz w:val="20"/>
          <w:szCs w:val="20"/>
        </w:rPr>
        <w:t xml:space="preserve"> con l’intento di promuovere relazioni aggregando Persone e Imprese che operano nel Centro/Nord Italia. Riconosciuta come Best </w:t>
      </w:r>
      <w:proofErr w:type="spellStart"/>
      <w:r>
        <w:rPr>
          <w:sz w:val="20"/>
          <w:szCs w:val="20"/>
        </w:rPr>
        <w:t>Practice</w:t>
      </w:r>
      <w:proofErr w:type="spellEnd"/>
      <w:r>
        <w:rPr>
          <w:sz w:val="20"/>
          <w:szCs w:val="20"/>
        </w:rPr>
        <w:t xml:space="preserve"> italiana da </w:t>
      </w:r>
      <w:proofErr w:type="spellStart"/>
      <w:r>
        <w:rPr>
          <w:sz w:val="20"/>
          <w:szCs w:val="20"/>
        </w:rPr>
        <w:t>LinkedIn</w:t>
      </w:r>
      <w:proofErr w:type="spellEnd"/>
      <w:r>
        <w:rPr>
          <w:sz w:val="20"/>
          <w:szCs w:val="20"/>
        </w:rPr>
        <w:t>, conta oggi più di 6.000 associati: una vera e propria Community, dove le aziende si aprono al pubblico condividendo progetti e processi in modo trasparente e costruttivo.</w:t>
      </w:r>
      <w:hyperlink r:id="rId7">
        <w:r>
          <w:rPr>
            <w:b/>
            <w:i/>
            <w:color w:val="0563C1"/>
            <w:sz w:val="16"/>
            <w:szCs w:val="16"/>
            <w:u w:val="single"/>
          </w:rPr>
          <w:t>www.fiordirisorse.eu</w:t>
        </w:r>
      </w:hyperlink>
    </w:p>
    <w:p w14:paraId="7BEBB1C6" w14:textId="77777777" w:rsidR="00B70AFC" w:rsidRDefault="00070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SENZAFILTRO è la testata giornalistica che tratta i temi del lavoro, cultura manageriale e libere professioni e che fa capo alla Business Community </w:t>
      </w:r>
      <w:proofErr w:type="spellStart"/>
      <w:r>
        <w:rPr>
          <w:sz w:val="20"/>
          <w:szCs w:val="20"/>
        </w:rPr>
        <w:t>FiordiRisorse</w:t>
      </w:r>
      <w:proofErr w:type="spellEnd"/>
    </w:p>
    <w:p w14:paraId="1C0FFC0F" w14:textId="77777777" w:rsidR="00B70AFC" w:rsidRDefault="00B70AFC">
      <w:pPr>
        <w:jc w:val="both"/>
        <w:rPr>
          <w:b/>
          <w:sz w:val="22"/>
          <w:szCs w:val="22"/>
        </w:rPr>
      </w:pPr>
    </w:p>
    <w:p w14:paraId="2C457A22" w14:textId="77777777" w:rsidR="00B70AFC" w:rsidRDefault="000705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Ufficio Stampa Fior di Risorse a cura di </w:t>
      </w:r>
      <w:proofErr w:type="spellStart"/>
      <w:r>
        <w:rPr>
          <w:b/>
          <w:sz w:val="20"/>
          <w:szCs w:val="20"/>
        </w:rPr>
        <w:t>Mec&amp;Partners</w:t>
      </w:r>
      <w:proofErr w:type="spellEnd"/>
    </w:p>
    <w:p w14:paraId="006B240D" w14:textId="77777777" w:rsidR="00B70AFC" w:rsidRDefault="00070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Patrizia Semeraro </w:t>
      </w:r>
      <w:hyperlink r:id="rId8">
        <w:r>
          <w:rPr>
            <w:color w:val="0563C1"/>
            <w:sz w:val="20"/>
            <w:szCs w:val="20"/>
            <w:u w:val="single"/>
          </w:rPr>
          <w:t>patrizia.semeraro@mec-partners.it</w:t>
        </w:r>
      </w:hyperlink>
      <w:r>
        <w:rPr>
          <w:sz w:val="20"/>
          <w:szCs w:val="20"/>
        </w:rPr>
        <w:t xml:space="preserve">  m. 347.6867620</w:t>
      </w:r>
    </w:p>
    <w:p w14:paraId="2952B4F5" w14:textId="77777777" w:rsidR="00B70AFC" w:rsidRDefault="00070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Simona Storchi </w:t>
      </w:r>
      <w:hyperlink r:id="rId9">
        <w:r>
          <w:rPr>
            <w:color w:val="0563C1"/>
            <w:sz w:val="20"/>
            <w:szCs w:val="20"/>
            <w:u w:val="single"/>
          </w:rPr>
          <w:t>simona.storchi@mec-partners.net</w:t>
        </w:r>
      </w:hyperlink>
      <w:r>
        <w:rPr>
          <w:sz w:val="20"/>
          <w:szCs w:val="20"/>
        </w:rPr>
        <w:t xml:space="preserve"> m.333 2114486</w:t>
      </w:r>
    </w:p>
    <w:p w14:paraId="64F4D140" w14:textId="77777777" w:rsidR="00B70AFC" w:rsidRDefault="00070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Lorenzo Pedrini </w:t>
      </w:r>
      <w:hyperlink r:id="rId10">
        <w:r>
          <w:rPr>
            <w:color w:val="0563C1"/>
            <w:sz w:val="20"/>
            <w:szCs w:val="20"/>
            <w:u w:val="single"/>
          </w:rPr>
          <w:t>nobilitapress@fiordirisorse.eu</w:t>
        </w:r>
      </w:hyperlink>
      <w:r>
        <w:rPr>
          <w:sz w:val="20"/>
          <w:szCs w:val="20"/>
        </w:rPr>
        <w:t xml:space="preserve"> m.3493837551</w:t>
      </w:r>
    </w:p>
    <w:p w14:paraId="1F0C7D13" w14:textId="77777777" w:rsidR="00B70AFC" w:rsidRDefault="00070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Luciana Apicella </w:t>
      </w:r>
      <w:hyperlink r:id="rId11">
        <w:r>
          <w:rPr>
            <w:color w:val="0563C1"/>
            <w:sz w:val="20"/>
            <w:szCs w:val="20"/>
            <w:u w:val="single"/>
          </w:rPr>
          <w:t>luciana.apicella@mec-partners.it</w:t>
        </w:r>
      </w:hyperlink>
      <w:r>
        <w:rPr>
          <w:sz w:val="20"/>
          <w:szCs w:val="20"/>
        </w:rPr>
        <w:t xml:space="preserve"> m. 335 7534485</w:t>
      </w:r>
    </w:p>
    <w:p w14:paraId="3D270497" w14:textId="77777777" w:rsidR="00B70AFC" w:rsidRDefault="00B70AFC">
      <w:pPr>
        <w:jc w:val="both"/>
        <w:rPr>
          <w:sz w:val="18"/>
          <w:szCs w:val="18"/>
        </w:rPr>
      </w:pPr>
    </w:p>
    <w:p w14:paraId="1CE7E1A9" w14:textId="77777777" w:rsidR="00B70AFC" w:rsidRDefault="00B70AFC">
      <w:pPr>
        <w:jc w:val="both"/>
      </w:pPr>
    </w:p>
    <w:p w14:paraId="06C8CAD8" w14:textId="77777777" w:rsidR="00B70AFC" w:rsidRDefault="00B70AFC">
      <w:pPr>
        <w:jc w:val="both"/>
      </w:pPr>
    </w:p>
    <w:sectPr w:rsidR="00B70AFC">
      <w:headerReference w:type="defaul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9237" w14:textId="77777777" w:rsidR="006A19A6" w:rsidRDefault="006A19A6">
      <w:r>
        <w:separator/>
      </w:r>
    </w:p>
  </w:endnote>
  <w:endnote w:type="continuationSeparator" w:id="0">
    <w:p w14:paraId="314A3C81" w14:textId="77777777" w:rsidR="006A19A6" w:rsidRDefault="006A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B474" w14:textId="77777777" w:rsidR="006A19A6" w:rsidRDefault="006A19A6">
      <w:r>
        <w:separator/>
      </w:r>
    </w:p>
  </w:footnote>
  <w:footnote w:type="continuationSeparator" w:id="0">
    <w:p w14:paraId="150C9B80" w14:textId="77777777" w:rsidR="006A19A6" w:rsidRDefault="006A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EBAE" w14:textId="77777777" w:rsidR="00603D11" w:rsidRDefault="00603D11">
    <w:pP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575C18F6" wp14:editId="03368AA2">
          <wp:extent cx="1980230" cy="10363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230" cy="1036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AFC"/>
    <w:rsid w:val="0007058B"/>
    <w:rsid w:val="000B092C"/>
    <w:rsid w:val="00162536"/>
    <w:rsid w:val="004B3506"/>
    <w:rsid w:val="004F44A8"/>
    <w:rsid w:val="00572E60"/>
    <w:rsid w:val="00603D11"/>
    <w:rsid w:val="006A19A6"/>
    <w:rsid w:val="00736DE2"/>
    <w:rsid w:val="00886480"/>
    <w:rsid w:val="008F2718"/>
    <w:rsid w:val="0099295B"/>
    <w:rsid w:val="00A16E57"/>
    <w:rsid w:val="00A9482A"/>
    <w:rsid w:val="00AD56BE"/>
    <w:rsid w:val="00AE0556"/>
    <w:rsid w:val="00B2119F"/>
    <w:rsid w:val="00B56E1B"/>
    <w:rsid w:val="00B70AFC"/>
    <w:rsid w:val="00B74F5B"/>
    <w:rsid w:val="00C112FA"/>
    <w:rsid w:val="00F040AD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26279"/>
  <w15:docId w15:val="{1E5B6FA5-241B-436E-86BD-CA321A2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B39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55B2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83F"/>
  </w:style>
  <w:style w:type="paragraph" w:styleId="Pidipagina">
    <w:name w:val="footer"/>
    <w:basedOn w:val="Normale"/>
    <w:link w:val="PidipaginaCarattere"/>
    <w:uiPriority w:val="99"/>
    <w:unhideWhenUsed/>
    <w:rsid w:val="00BB6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83F"/>
  </w:style>
  <w:style w:type="paragraph" w:styleId="NormaleWeb">
    <w:name w:val="Normal (Web)"/>
    <w:basedOn w:val="Normale"/>
    <w:uiPriority w:val="99"/>
    <w:semiHidden/>
    <w:unhideWhenUsed/>
    <w:rsid w:val="006D56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5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58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0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semeraro@mec-partner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ordirisors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iana.apicella@mec-partner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bilitapress@fiordirisors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storchi@mec-partner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C3D9-56D3-40B0-8046-57AF5F2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Apicella</dc:creator>
  <cp:lastModifiedBy>Utente Windows</cp:lastModifiedBy>
  <cp:revision>11</cp:revision>
  <cp:lastPrinted>2018-03-24T12:54:00Z</cp:lastPrinted>
  <dcterms:created xsi:type="dcterms:W3CDTF">2018-03-23T10:35:00Z</dcterms:created>
  <dcterms:modified xsi:type="dcterms:W3CDTF">2018-03-24T13:11:00Z</dcterms:modified>
</cp:coreProperties>
</file>